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F26D1" w14:textId="664036BB" w:rsidR="00883150" w:rsidRPr="00F017E6" w:rsidRDefault="002A4E49" w:rsidP="00883150">
      <w:pPr>
        <w:pStyle w:val="Header"/>
        <w:rPr>
          <w:rFonts w:eastAsia="Times New Roman"/>
          <w:szCs w:val="20"/>
          <w:lang w:val="en-GB" w:eastAsia="zh-CN"/>
        </w:rPr>
      </w:pPr>
      <w:bookmarkStart w:id="0" w:name="_GoBack"/>
      <w:bookmarkEnd w:id="0"/>
      <w:r>
        <w:rPr>
          <w:rFonts w:eastAsia="Times New Roman"/>
          <w:szCs w:val="20"/>
          <w:lang w:val="en-GB" w:eastAsia="zh-CN"/>
        </w:rPr>
        <w:t>3GPP TSG RAN WG1 Meeting #89</w:t>
      </w:r>
      <w:r w:rsidR="00883150" w:rsidRPr="00F017E6">
        <w:rPr>
          <w:rFonts w:eastAsia="Times New Roman"/>
          <w:szCs w:val="20"/>
          <w:lang w:val="en-GB" w:eastAsia="zh-CN"/>
        </w:rPr>
        <w:tab/>
      </w:r>
      <w:r w:rsidR="00883150" w:rsidRPr="00F017E6">
        <w:rPr>
          <w:rFonts w:eastAsia="Times New Roman"/>
          <w:szCs w:val="20"/>
          <w:lang w:val="en-GB" w:eastAsia="zh-CN"/>
        </w:rPr>
        <w:tab/>
      </w:r>
      <w:r w:rsidR="007114ED" w:rsidRPr="007114ED">
        <w:rPr>
          <w:rFonts w:eastAsia="Times New Roman"/>
          <w:szCs w:val="20"/>
          <w:lang w:val="en-GB" w:eastAsia="zh-CN"/>
        </w:rPr>
        <w:t>R1-1708671</w:t>
      </w:r>
    </w:p>
    <w:p w14:paraId="3D832913" w14:textId="3BD86CC1" w:rsidR="00B32246" w:rsidRPr="004610A1" w:rsidRDefault="002A4E49" w:rsidP="00B32246">
      <w:pPr>
        <w:pStyle w:val="Header"/>
      </w:pPr>
      <w:r w:rsidRPr="002A4E49">
        <w:rPr>
          <w:rFonts w:eastAsia="Times New Roman"/>
          <w:szCs w:val="20"/>
          <w:lang w:val="en-GB" w:eastAsia="zh-CN"/>
        </w:rPr>
        <w:t>Hangzhou, P.R. China 15th – 19th May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883150" w:rsidRPr="00883150">
        <w:t>Robust Transmission Scheme for PUSCH</w:t>
      </w:r>
    </w:p>
    <w:p w14:paraId="22D262FB" w14:textId="783D0CE2"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2A4E49">
        <w:t>7</w:t>
      </w:r>
      <w:r w:rsidR="00B32246" w:rsidRPr="00B32246">
        <w:t>.1.2.1.5</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6CB3DCC7" w14:textId="6D95B29E" w:rsidR="0014469B" w:rsidRDefault="00E017DE" w:rsidP="002574AF">
      <w:pPr>
        <w:pStyle w:val="BodyText"/>
      </w:pPr>
      <w:r>
        <w:t xml:space="preserve">In the January NR RAN1 adhoc, it was agreed that diversity-based transmission schemes will be supported in NR, although it is for further study </w:t>
      </w:r>
      <w:r w:rsidR="00CD0698">
        <w:t xml:space="preserve">if these need to be specified.  It </w:t>
      </w:r>
      <w:r>
        <w:t xml:space="preserve">was </w:t>
      </w:r>
      <w:r w:rsidR="00CD0698">
        <w:t xml:space="preserve">also </w:t>
      </w:r>
      <w:r>
        <w:t>left for further study if single port transmission is supported for UEs capa</w:t>
      </w:r>
      <w:r w:rsidR="00CC1775">
        <w:t>ble of two antenna transmission.  More recently, i</w:t>
      </w:r>
      <w:r w:rsidR="0014469B">
        <w:t>n RAN1#88</w:t>
      </w:r>
      <w:r w:rsidR="008453A3">
        <w:t>bis</w:t>
      </w:r>
      <w:r w:rsidR="0014469B">
        <w:t xml:space="preserve">, </w:t>
      </w:r>
      <w:r w:rsidR="008453A3">
        <w:t xml:space="preserve">transparent and non-transparent </w:t>
      </w:r>
      <w:r w:rsidR="0014469B">
        <w:t>candidate schemes</w:t>
      </w:r>
      <w:r w:rsidR="008453A3">
        <w:t xml:space="preserve"> were further identified for DFT</w:t>
      </w:r>
      <w:r w:rsidR="0014469B">
        <w:t>-S-OFDM:</w:t>
      </w:r>
    </w:p>
    <w:p w14:paraId="6BD1991E" w14:textId="77777777" w:rsidR="008453A3" w:rsidRPr="006A20D2" w:rsidRDefault="008453A3" w:rsidP="008453A3">
      <w:pPr>
        <w:rPr>
          <w:rFonts w:eastAsia="MS Mincho"/>
          <w:szCs w:val="20"/>
          <w:lang w:eastAsia="ja-JP"/>
        </w:rPr>
      </w:pPr>
      <w:r w:rsidRPr="008453A3">
        <w:rPr>
          <w:rFonts w:eastAsia="MS Mincho"/>
          <w:b/>
          <w:szCs w:val="20"/>
          <w:highlight w:val="green"/>
          <w:u w:val="single"/>
          <w:lang w:eastAsia="ja-JP"/>
        </w:rPr>
        <w:t>Agreements</w:t>
      </w:r>
      <w:r w:rsidRPr="006A20D2">
        <w:rPr>
          <w:rFonts w:eastAsia="MS Mincho"/>
          <w:szCs w:val="20"/>
          <w:lang w:eastAsia="ja-JP"/>
        </w:rPr>
        <w:t>:</w:t>
      </w:r>
    </w:p>
    <w:p w14:paraId="62EC0078" w14:textId="77777777" w:rsidR="008453A3" w:rsidRPr="006A20D2" w:rsidRDefault="008453A3" w:rsidP="00764C6D">
      <w:pPr>
        <w:numPr>
          <w:ilvl w:val="0"/>
          <w:numId w:val="16"/>
        </w:numPr>
        <w:rPr>
          <w:rFonts w:eastAsia="MS Mincho"/>
          <w:szCs w:val="20"/>
          <w:lang w:eastAsia="ja-JP"/>
        </w:rPr>
      </w:pPr>
      <w:r w:rsidRPr="006A20D2">
        <w:rPr>
          <w:rFonts w:eastAsia="MS Mincho"/>
          <w:szCs w:val="20"/>
          <w:lang w:val="fr-FR" w:eastAsia="ja-JP"/>
        </w:rPr>
        <w:t>For DFTsOFDM in data channel, the following schemes are candidates for transmit diversity:</w:t>
      </w:r>
    </w:p>
    <w:p w14:paraId="12DADD14" w14:textId="77777777" w:rsidR="008453A3" w:rsidRPr="006A20D2" w:rsidRDefault="008453A3" w:rsidP="00764C6D">
      <w:pPr>
        <w:numPr>
          <w:ilvl w:val="1"/>
          <w:numId w:val="16"/>
        </w:numPr>
        <w:rPr>
          <w:rFonts w:eastAsia="MS Mincho"/>
          <w:szCs w:val="20"/>
          <w:lang w:eastAsia="ja-JP"/>
        </w:rPr>
      </w:pPr>
      <w:r w:rsidRPr="006A20D2">
        <w:rPr>
          <w:rFonts w:eastAsia="MS Mincho"/>
          <w:szCs w:val="20"/>
          <w:lang w:val="fr-FR" w:eastAsia="ja-JP"/>
        </w:rPr>
        <w:t>Low PAPR Alamouti-based transmit diversity applied in frequency or time domain, transparent transmit diversity (e.g. short delay CDD, panel selection), time domain beam/precoder cycling</w:t>
      </w:r>
    </w:p>
    <w:p w14:paraId="1C476EC2" w14:textId="1BF2CEC5" w:rsidR="0014469B" w:rsidRDefault="0014469B" w:rsidP="002574AF">
      <w:pPr>
        <w:pStyle w:val="BodyText"/>
      </w:pPr>
    </w:p>
    <w:p w14:paraId="4CF31ABB" w14:textId="0839D5B7" w:rsidR="00267825" w:rsidRDefault="00267825" w:rsidP="002574AF">
      <w:pPr>
        <w:pStyle w:val="BodyText"/>
      </w:pPr>
      <w:r>
        <w:t>Related working assumptions for PBCH and PDCCH were also reached:</w:t>
      </w:r>
    </w:p>
    <w:p w14:paraId="675F2A4D" w14:textId="77777777" w:rsidR="00267825" w:rsidRPr="00AE0575" w:rsidRDefault="00267825" w:rsidP="00267825">
      <w:pPr>
        <w:rPr>
          <w:rFonts w:eastAsia="MS Mincho"/>
          <w:b/>
          <w:szCs w:val="20"/>
          <w:highlight w:val="darkYellow"/>
          <w:u w:val="single"/>
          <w:lang w:eastAsia="ja-JP"/>
        </w:rPr>
      </w:pPr>
      <w:r w:rsidRPr="00AE0575">
        <w:rPr>
          <w:rFonts w:eastAsia="MS Mincho"/>
          <w:b/>
          <w:szCs w:val="20"/>
          <w:highlight w:val="darkYellow"/>
          <w:u w:val="single"/>
          <w:lang w:eastAsia="ja-JP"/>
        </w:rPr>
        <w:t>Working assumption:</w:t>
      </w:r>
    </w:p>
    <w:p w14:paraId="48E6B3FA" w14:textId="77777777" w:rsidR="00267825" w:rsidRPr="006269A6" w:rsidRDefault="00267825" w:rsidP="00764C6D">
      <w:pPr>
        <w:numPr>
          <w:ilvl w:val="0"/>
          <w:numId w:val="17"/>
        </w:numPr>
        <w:rPr>
          <w:rFonts w:eastAsia="MS Mincho"/>
          <w:szCs w:val="20"/>
          <w:lang w:eastAsia="ja-JP"/>
        </w:rPr>
      </w:pPr>
      <w:r w:rsidRPr="006269A6">
        <w:rPr>
          <w:rFonts w:eastAsia="MS Mincho"/>
          <w:szCs w:val="20"/>
          <w:lang w:eastAsia="ja-JP"/>
        </w:rPr>
        <w:t xml:space="preserve">For NR-PBCH transmission, NR supports a single antenna port based transmission scheme only. </w:t>
      </w:r>
    </w:p>
    <w:p w14:paraId="55934CCB" w14:textId="77777777" w:rsidR="00267825" w:rsidRPr="006269A6" w:rsidRDefault="00267825" w:rsidP="00764C6D">
      <w:pPr>
        <w:numPr>
          <w:ilvl w:val="1"/>
          <w:numId w:val="17"/>
        </w:numPr>
        <w:rPr>
          <w:rFonts w:eastAsia="MS Mincho"/>
          <w:szCs w:val="20"/>
          <w:lang w:eastAsia="ja-JP"/>
        </w:rPr>
      </w:pPr>
      <w:r w:rsidRPr="006269A6">
        <w:rPr>
          <w:rFonts w:eastAsia="MS Mincho"/>
          <w:szCs w:val="20"/>
          <w:lang w:eastAsia="ja-JP"/>
        </w:rPr>
        <w:t>FFS: Same or different antenna port(s) are defined for NR-PSS, NR-SSS and NR-PBCH within an SS block</w:t>
      </w:r>
    </w:p>
    <w:p w14:paraId="0EF5F2D2" w14:textId="77777777" w:rsidR="00267825" w:rsidRPr="006269A6" w:rsidRDefault="00267825" w:rsidP="00764C6D">
      <w:pPr>
        <w:numPr>
          <w:ilvl w:val="1"/>
          <w:numId w:val="17"/>
        </w:numPr>
        <w:rPr>
          <w:rFonts w:eastAsia="MS Mincho"/>
          <w:szCs w:val="20"/>
          <w:lang w:eastAsia="ja-JP"/>
        </w:rPr>
      </w:pPr>
      <w:r w:rsidRPr="006269A6">
        <w:rPr>
          <w:rFonts w:eastAsia="MS Mincho"/>
          <w:szCs w:val="20"/>
          <w:lang w:eastAsia="ja-JP"/>
        </w:rPr>
        <w:t>Companies are encouraged to further evaluate NR-PBCH performance</w:t>
      </w:r>
    </w:p>
    <w:p w14:paraId="60371CF7" w14:textId="77777777" w:rsidR="00267825" w:rsidRDefault="00267825" w:rsidP="00267825">
      <w:pPr>
        <w:rPr>
          <w:rFonts w:eastAsia="MS Mincho"/>
          <w:b/>
          <w:iCs/>
          <w:szCs w:val="20"/>
          <w:highlight w:val="darkYellow"/>
          <w:u w:val="single"/>
          <w:lang w:eastAsia="ja-JP"/>
        </w:rPr>
      </w:pPr>
    </w:p>
    <w:p w14:paraId="153F6734" w14:textId="2E2518DA" w:rsidR="00267825" w:rsidRPr="0072303E" w:rsidRDefault="00267825" w:rsidP="00267825">
      <w:pPr>
        <w:rPr>
          <w:rFonts w:eastAsia="MS Mincho"/>
          <w:b/>
          <w:iCs/>
          <w:szCs w:val="20"/>
          <w:u w:val="single"/>
          <w:lang w:eastAsia="ja-JP"/>
        </w:rPr>
      </w:pPr>
      <w:r w:rsidRPr="0072303E">
        <w:rPr>
          <w:rFonts w:eastAsia="MS Mincho" w:hint="eastAsia"/>
          <w:b/>
          <w:iCs/>
          <w:szCs w:val="20"/>
          <w:highlight w:val="darkYellow"/>
          <w:u w:val="single"/>
          <w:lang w:eastAsia="ja-JP"/>
        </w:rPr>
        <w:t>Working assumption:</w:t>
      </w:r>
    </w:p>
    <w:p w14:paraId="3C66F56E" w14:textId="77777777" w:rsidR="00267825" w:rsidRPr="0072303E" w:rsidRDefault="00267825" w:rsidP="00764C6D">
      <w:pPr>
        <w:numPr>
          <w:ilvl w:val="0"/>
          <w:numId w:val="18"/>
        </w:numPr>
        <w:rPr>
          <w:rFonts w:eastAsia="MS Mincho"/>
          <w:iCs/>
          <w:szCs w:val="20"/>
          <w:lang w:eastAsia="ja-JP"/>
        </w:rPr>
      </w:pPr>
      <w:r w:rsidRPr="0072303E">
        <w:rPr>
          <w:rFonts w:eastAsia="MS Mincho"/>
          <w:iCs/>
          <w:szCs w:val="20"/>
          <w:lang w:eastAsia="ja-JP"/>
        </w:rPr>
        <w:t>One-port transmit diversity scheme with REG bundling per CCE is used for NR-PDCCH</w:t>
      </w:r>
    </w:p>
    <w:p w14:paraId="54E257FF" w14:textId="77777777" w:rsidR="00267825" w:rsidRPr="0072303E" w:rsidRDefault="00267825" w:rsidP="00764C6D">
      <w:pPr>
        <w:numPr>
          <w:ilvl w:val="1"/>
          <w:numId w:val="18"/>
        </w:numPr>
        <w:rPr>
          <w:rFonts w:eastAsia="MS Mincho"/>
          <w:iCs/>
          <w:szCs w:val="20"/>
          <w:lang w:eastAsia="ja-JP"/>
        </w:rPr>
      </w:pPr>
      <w:r w:rsidRPr="0072303E">
        <w:rPr>
          <w:rFonts w:eastAsia="MS Mincho"/>
          <w:iCs/>
          <w:szCs w:val="20"/>
          <w:lang w:eastAsia="ja-JP"/>
        </w:rPr>
        <w:t>FFS the bundling size</w:t>
      </w:r>
    </w:p>
    <w:p w14:paraId="0A56C614" w14:textId="77777777" w:rsidR="00267825" w:rsidRPr="0072303E" w:rsidRDefault="00267825" w:rsidP="00764C6D">
      <w:pPr>
        <w:numPr>
          <w:ilvl w:val="1"/>
          <w:numId w:val="18"/>
        </w:numPr>
        <w:rPr>
          <w:rFonts w:eastAsia="MS Mincho"/>
          <w:iCs/>
          <w:szCs w:val="20"/>
          <w:lang w:eastAsia="ja-JP"/>
        </w:rPr>
      </w:pPr>
      <w:r w:rsidRPr="0072303E">
        <w:rPr>
          <w:rFonts w:eastAsia="MS Mincho"/>
          <w:iCs/>
          <w:szCs w:val="20"/>
          <w:lang w:eastAsia="ja-JP"/>
        </w:rPr>
        <w:t>FFS: REG bundling is also for localized mapping in time and/or frequency-domain</w:t>
      </w:r>
    </w:p>
    <w:p w14:paraId="3DF9AB15" w14:textId="77777777" w:rsidR="00267825" w:rsidRPr="0072303E" w:rsidRDefault="00267825" w:rsidP="00764C6D">
      <w:pPr>
        <w:numPr>
          <w:ilvl w:val="0"/>
          <w:numId w:val="18"/>
        </w:numPr>
        <w:spacing w:after="120"/>
        <w:rPr>
          <w:rFonts w:eastAsia="MS Mincho"/>
          <w:iCs/>
          <w:szCs w:val="20"/>
          <w:lang w:eastAsia="ja-JP"/>
        </w:rPr>
      </w:pPr>
      <w:r w:rsidRPr="0072303E">
        <w:rPr>
          <w:rFonts w:eastAsia="MS Mincho" w:hint="eastAsia"/>
          <w:iCs/>
          <w:szCs w:val="20"/>
          <w:lang w:eastAsia="ja-JP"/>
        </w:rPr>
        <w:t xml:space="preserve">Companies are </w:t>
      </w:r>
      <w:r w:rsidRPr="0072303E">
        <w:rPr>
          <w:rFonts w:eastAsia="MS Mincho"/>
          <w:iCs/>
          <w:szCs w:val="20"/>
          <w:lang w:eastAsia="ja-JP"/>
        </w:rPr>
        <w:t>encouraged</w:t>
      </w:r>
      <w:r w:rsidRPr="0072303E">
        <w:rPr>
          <w:rFonts w:eastAsia="MS Mincho" w:hint="eastAsia"/>
          <w:iCs/>
          <w:szCs w:val="20"/>
          <w:lang w:eastAsia="ja-JP"/>
        </w:rPr>
        <w:t xml:space="preserve"> to provide evaluation </w:t>
      </w:r>
      <w:r w:rsidRPr="0072303E">
        <w:rPr>
          <w:rFonts w:eastAsia="MS Mincho"/>
          <w:iCs/>
          <w:szCs w:val="20"/>
          <w:lang w:eastAsia="ja-JP"/>
        </w:rPr>
        <w:t>results</w:t>
      </w:r>
      <w:r w:rsidRPr="0072303E">
        <w:rPr>
          <w:rFonts w:eastAsia="MS Mincho" w:hint="eastAsia"/>
          <w:iCs/>
          <w:szCs w:val="20"/>
          <w:lang w:eastAsia="ja-JP"/>
        </w:rPr>
        <w:t xml:space="preserve"> for 10 MHz and 20 MHz for larger aggregation levels and 5 MHz and 10 MHz for smaller aggregation levels </w:t>
      </w:r>
    </w:p>
    <w:p w14:paraId="7E5BB7B1" w14:textId="39114C17" w:rsidR="002574AF" w:rsidRPr="002574AF" w:rsidRDefault="00D3473C" w:rsidP="002574AF">
      <w:pPr>
        <w:pStyle w:val="BodyText"/>
      </w:pPr>
      <w:r>
        <w:t xml:space="preserve">This contribution addresses the need for non-transparent TxD schemes, and the use of single antenna port transmission in multi-Tx UEs.  The discussion takes into account the vastly different </w:t>
      </w:r>
      <w:r w:rsidR="00F70E36">
        <w:t>characteristics of multi-antenna operation in t</w:t>
      </w:r>
      <w:r>
        <w:t>he UE from the gNB,</w:t>
      </w:r>
      <w:r w:rsidR="00F70E36">
        <w:t xml:space="preserve"> </w:t>
      </w:r>
      <w:r>
        <w:t xml:space="preserve">including </w:t>
      </w:r>
      <w:r w:rsidR="00D51F51">
        <w:t xml:space="preserve">factors affecting open loop performance, </w:t>
      </w:r>
      <w:r>
        <w:t xml:space="preserve">and </w:t>
      </w:r>
      <w:r w:rsidR="00D51F51">
        <w:t xml:space="preserve">the </w:t>
      </w:r>
      <w:r w:rsidR="00F70E36">
        <w:t xml:space="preserve">benefits of open loop operation schemes </w:t>
      </w:r>
      <w:r>
        <w:t xml:space="preserve">to </w:t>
      </w:r>
      <w:r w:rsidR="00F70E36">
        <w:t>the UE.</w:t>
      </w:r>
      <w:r>
        <w:t xml:space="preserve">  </w:t>
      </w:r>
      <w:r w:rsidR="00267825">
        <w:t>The implications of the above listed recent developments for diversity on PBCH and PDCCH are addressed, and recommendations are made on a single antenna port transmission mode for multi-antenna UEs.</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C69DBD4"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Angle spread around UEs is much larger than at gNBs, leading to different behavior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t xml:space="preserve">Use cases </w:t>
      </w:r>
      <w:r w:rsidR="002574AF">
        <w:t>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w:t>
      </w:r>
      <w:r w:rsidR="00D11CA2">
        <w:lastRenderedPageBreak/>
        <w:t xml:space="preserve">as the target BLER increases, and so </w:t>
      </w:r>
      <w:r w:rsidR="00B475C2">
        <w:t>open loop diversity is more naturally suited to physical channels requiring high reliability.</w:t>
      </w:r>
    </w:p>
    <w:p w14:paraId="3D6F464D" w14:textId="68417D64" w:rsidR="009B5429" w:rsidRDefault="009B5429" w:rsidP="009B5429">
      <w:pPr>
        <w:pStyle w:val="BodyText"/>
      </w:pPr>
      <w:r>
        <w:t xml:space="preserve">Open loop transmission always performs worse than coherent (“closed loop”) transmission for a given set of antenna ports when good CSI feedback is available.  This is </w:t>
      </w:r>
      <w:r w:rsidR="00204F0B">
        <w:t xml:space="preserve">in part </w:t>
      </w:r>
      <w:r>
        <w:t xml:space="preserve">due to array gain from coherent transmission.  </w:t>
      </w:r>
      <w:r w:rsidR="00204F0B">
        <w:t xml:space="preserve">As has been discussed at length for downlink transmission scheme 2, non-transparent TxD schemes also tend to appear as rank 2 transmission, which limits the ability to suppress them using a linear receiver.  Furthermore, non-linear receivers performing joint estimation of interference and desired signals need to be aware of the structure of the interference.  Since this is in general impractical for interferers not controlled by the serving cell, non-transparent TxD schemes can preclude gains from gNB non-linear receivers.  </w:t>
      </w:r>
      <w:r>
        <w:t>Consequently, open loop transmission has performance benefits only in certain scenarios where CSI is stale or not available at all, and where IRC losses are sufficiently small.</w:t>
      </w:r>
    </w:p>
    <w:p w14:paraId="79929F77" w14:textId="08FC84F5" w:rsidR="00204F0B" w:rsidRDefault="00204F0B" w:rsidP="009B5429">
      <w:pPr>
        <w:pStyle w:val="BodyText"/>
      </w:pPr>
      <w:r>
        <w:t>This is due to array gain from coherent transmission, as well as the ability of an IRC receiver to better suppress the rank 1 interference produced by coherent transmission as opposed to the rank 2 interference produced by most non-transparent open loop schemes.  Consequently, open loop transmission has performance benefits only in certain scenarios where CSI is stale or not available at all, and where IRC losses are sufficiently small.</w:t>
      </w:r>
    </w:p>
    <w:p w14:paraId="1318A2FC" w14:textId="6C7483AE" w:rsidR="00A051E9" w:rsidRDefault="00A051E9" w:rsidP="009B5429">
      <w:pPr>
        <w:pStyle w:val="BodyText"/>
      </w:pPr>
      <w:r>
        <w:t xml:space="preserve">Open loop can be considered for both DFT-S-OFDM and for CP OFDM.  The use case for DFT-S-OFDM is more clear, since its design targets power efficient and rank 1 transmission, where diversity is most needed.  CP OFDM will likely be used in better channel conditions, where higher rank or MU-MIMO transmission </w:t>
      </w:r>
      <w:r w:rsidR="00A8631F">
        <w:t>is beneficial, and TxD is not likely to be used.</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764C6D">
      <w:pPr>
        <w:pStyle w:val="BodyText"/>
        <w:numPr>
          <w:ilvl w:val="0"/>
          <w:numId w:val="12"/>
        </w:numPr>
        <w:spacing w:after="0"/>
      </w:pPr>
      <w:r>
        <w:t>Uplink open loop diversity schemes target relatively narrow use cases where</w:t>
      </w:r>
    </w:p>
    <w:p w14:paraId="122D93FB" w14:textId="77777777" w:rsidR="0022023C" w:rsidRDefault="0022023C" w:rsidP="00764C6D">
      <w:pPr>
        <w:pStyle w:val="BodyText"/>
        <w:numPr>
          <w:ilvl w:val="1"/>
          <w:numId w:val="12"/>
        </w:numPr>
        <w:spacing w:after="0"/>
      </w:pPr>
      <w:r>
        <w:t>Accurate CSI is not available</w:t>
      </w:r>
    </w:p>
    <w:p w14:paraId="7992AEF7" w14:textId="77777777" w:rsidR="0022023C" w:rsidRDefault="0022023C" w:rsidP="00764C6D">
      <w:pPr>
        <w:pStyle w:val="BodyText"/>
        <w:numPr>
          <w:ilvl w:val="1"/>
          <w:numId w:val="12"/>
        </w:numPr>
        <w:spacing w:after="0"/>
      </w:pPr>
      <w:r>
        <w:t>There are a relative small number of gNB Rx antennas</w:t>
      </w:r>
    </w:p>
    <w:p w14:paraId="0B4F2F12" w14:textId="5A854DB2" w:rsidR="0022023C" w:rsidRDefault="0022023C" w:rsidP="00764C6D">
      <w:pPr>
        <w:pStyle w:val="BodyText"/>
        <w:numPr>
          <w:ilvl w:val="1"/>
          <w:numId w:val="12"/>
        </w:numPr>
        <w:spacing w:after="0"/>
      </w:pPr>
      <w:r>
        <w:t>Tx diversity gains outweigh gNB IRC losses</w:t>
      </w:r>
    </w:p>
    <w:p w14:paraId="47028353" w14:textId="45125304" w:rsidR="00204F0B" w:rsidRDefault="00204F0B" w:rsidP="00764C6D">
      <w:pPr>
        <w:pStyle w:val="BodyText"/>
        <w:numPr>
          <w:ilvl w:val="2"/>
          <w:numId w:val="12"/>
        </w:numPr>
        <w:spacing w:after="0"/>
      </w:pPr>
      <w:r>
        <w:t>Rank 2 transmission reduces the ability to suppress interference in linear receivers</w:t>
      </w:r>
    </w:p>
    <w:p w14:paraId="6B079FFC" w14:textId="22FD6695" w:rsidR="00204F0B" w:rsidRDefault="00204F0B" w:rsidP="00764C6D">
      <w:pPr>
        <w:pStyle w:val="BodyText"/>
        <w:numPr>
          <w:ilvl w:val="2"/>
          <w:numId w:val="12"/>
        </w:numPr>
        <w:spacing w:after="0"/>
      </w:pPr>
      <w:r>
        <w:t>Non-transparent TxD schemes can preclude gains from gNB non-linear receivers</w:t>
      </w:r>
    </w:p>
    <w:p w14:paraId="70DE1BC1" w14:textId="66CFB6CD" w:rsidR="00A051E9" w:rsidRDefault="00A051E9" w:rsidP="00764C6D">
      <w:pPr>
        <w:pStyle w:val="BodyText"/>
        <w:numPr>
          <w:ilvl w:val="0"/>
          <w:numId w:val="12"/>
        </w:numPr>
        <w:spacing w:after="0"/>
      </w:pPr>
      <w:r>
        <w:t>CP OFDM does not seem a good use case for TxD</w:t>
      </w:r>
    </w:p>
    <w:p w14:paraId="49A4B39C" w14:textId="22E04F4B" w:rsidR="00A051E9" w:rsidRDefault="00A051E9" w:rsidP="00764C6D">
      <w:pPr>
        <w:pStyle w:val="BodyText"/>
        <w:numPr>
          <w:ilvl w:val="1"/>
          <w:numId w:val="12"/>
        </w:numPr>
        <w:spacing w:after="0"/>
      </w:pPr>
      <w:r>
        <w:t>CP OFDM will likely be used in channel conditions where TxD is not essential</w:t>
      </w:r>
    </w:p>
    <w:p w14:paraId="744829A4" w14:textId="48808989" w:rsidR="0022023C" w:rsidRDefault="0022023C" w:rsidP="0022023C">
      <w:pPr>
        <w:pStyle w:val="Heading2"/>
      </w:pPr>
      <w:r>
        <w:t xml:space="preserve">Non-transparent vs. transparent TxD </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27E55982"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is higher than transparent TxD.  This overhead is particularly high when DMRS occupy entire OFDM symbols, such as in </w:t>
      </w:r>
      <w:r w:rsidR="00FE02AB">
        <w:t>LTE</w:t>
      </w:r>
      <w:r>
        <w:t>.</w:t>
      </w:r>
    </w:p>
    <w:p w14:paraId="69AD5A14" w14:textId="1B28303C" w:rsidR="005901BE" w:rsidRDefault="00407409" w:rsidP="002574AF">
      <w:pPr>
        <w:pStyle w:val="BodyText"/>
      </w:pPr>
      <w:r>
        <w:t xml:space="preserve">Some of the best performing </w:t>
      </w:r>
      <w:r w:rsidR="00941DC4">
        <w:t xml:space="preserve">space time coding </w:t>
      </w:r>
      <w:r>
        <w:t>schemes</w:t>
      </w:r>
      <w:r w:rsidR="00941DC4">
        <w:t xml:space="preserve"> tend to be more difficult to use in UEs than gNBs. </w:t>
      </w:r>
      <w:r>
        <w:t xml:space="preserve">Schemes such as </w:t>
      </w:r>
      <w:r w:rsidRPr="009D705F">
        <w:t>SFBC</w:t>
      </w:r>
      <w:r w:rsidR="005901BE" w:rsidRPr="009D705F">
        <w:t xml:space="preserve"> </w:t>
      </w:r>
      <w:r w:rsidRPr="009D705F">
        <w:t xml:space="preserve">can increase the cubic metric of a transmitted signal, tending to make </w:t>
      </w:r>
      <w:r w:rsidR="00D02D8A" w:rsidRPr="009D705F">
        <w:t>them</w:t>
      </w:r>
      <w:r w:rsidRPr="009D705F">
        <w:t xml:space="preserve"> unsuitable for UEs using DFT-S-OFDM transmission.  STBC </w:t>
      </w:r>
      <w:r w:rsidR="00941DC4" w:rsidRPr="009D705F">
        <w:t>can avoid CM increase, but requires even numbers of time domain symbols, which can be difficult to guarantee with a limited number of symbols as can be found in DFT-S-OFDM.</w:t>
      </w:r>
      <w:r w:rsidR="001B64E1" w:rsidRPr="009D705F">
        <w:t xml:space="preserve">  Schemes that preserve the cubic </w:t>
      </w:r>
      <w:r w:rsidR="0085213D" w:rsidRPr="009D705F">
        <w:t xml:space="preserve">metric have also been proposed </w:t>
      </w:r>
      <w:r w:rsidR="00216E72" w:rsidRPr="009D705F">
        <w:fldChar w:fldCharType="begin"/>
      </w:r>
      <w:r w:rsidR="00216E72" w:rsidRPr="009D705F">
        <w:instrText xml:space="preserve"> REF _Ref481671200 \r \h </w:instrText>
      </w:r>
      <w:r w:rsidR="009D705F">
        <w:instrText xml:space="preserve"> \* MERGEFORMAT </w:instrText>
      </w:r>
      <w:r w:rsidR="00216E72" w:rsidRPr="009D705F">
        <w:fldChar w:fldCharType="separate"/>
      </w:r>
      <w:r w:rsidR="00216E72" w:rsidRPr="009D705F">
        <w:t>[1]</w:t>
      </w:r>
      <w:r w:rsidR="00216E72" w:rsidRPr="009D705F">
        <w:fldChar w:fldCharType="end"/>
      </w:r>
      <w:r w:rsidR="00216E72" w:rsidRPr="009D705F">
        <w:fldChar w:fldCharType="begin"/>
      </w:r>
      <w:r w:rsidR="00216E72" w:rsidRPr="009D705F">
        <w:instrText xml:space="preserve"> REF _Ref481671209 \r \h </w:instrText>
      </w:r>
      <w:r w:rsidR="009D705F">
        <w:instrText xml:space="preserve"> \* MERGEFORMAT </w:instrText>
      </w:r>
      <w:r w:rsidR="00216E72" w:rsidRPr="009D705F">
        <w:fldChar w:fldCharType="separate"/>
      </w:r>
      <w:r w:rsidR="00216E72" w:rsidRPr="009D705F">
        <w:t>[2]</w:t>
      </w:r>
      <w:r w:rsidR="00216E72" w:rsidRPr="009D705F">
        <w:fldChar w:fldCharType="end"/>
      </w:r>
      <w:r w:rsidR="0085213D" w:rsidRPr="009D705F">
        <w:t>, but these</w:t>
      </w:r>
      <w:r w:rsidR="0085213D">
        <w:t xml:space="preserve"> use RE-level transformations </w:t>
      </w:r>
      <w:r w:rsidR="00861EFA">
        <w:t xml:space="preserve">that are more complex than </w:t>
      </w:r>
      <w:r w:rsidR="004C665A">
        <w:t xml:space="preserve">basic </w:t>
      </w:r>
      <w:r w:rsidR="00861EFA">
        <w:t xml:space="preserve">Alamouti-style schemes, and so their </w:t>
      </w:r>
      <w:r w:rsidR="0085213D">
        <w:t>impact on eNB complexity needs further study.</w:t>
      </w:r>
    </w:p>
    <w:p w14:paraId="3A65A388" w14:textId="77777777" w:rsidR="00A77453" w:rsidRDefault="00A77453" w:rsidP="009F0124">
      <w:pPr>
        <w:jc w:val="both"/>
      </w:pPr>
      <w:r>
        <w:t xml:space="preserve">Diversity in spatial multiplexing transmission can come from mapping a codeword to multiple layers.  When codeword to layer mapping is designed such that the number of codewords is less than the number of layers, this ‘layer-diversity’ </w:t>
      </w:r>
      <w:r>
        <w:lastRenderedPageBreak/>
        <w:t xml:space="preserve">comes automatically.  On the other hand, when an SU-MIMO codeword is transmitted on only one layer, additional mechanisms may be needed to ‘mix’ the MIMO layers that the codeword is transmitted on in order to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215C7FE1" w:rsidR="00E93F33" w:rsidRDefault="00A77453" w:rsidP="009F0124">
      <w:pPr>
        <w:jc w:val="both"/>
      </w:pPr>
      <w:r>
        <w:t xml:space="preserve">There are two well known ways for robust </w:t>
      </w:r>
      <w:r w:rsidR="003C2DEF">
        <w:t xml:space="preserve">multi-codeword </w:t>
      </w:r>
      <w:r>
        <w:t>spatial SU-MIMO transmission: large delay CDD, and layer permutation (also known as layer shifting).  As described in more detail in</w:t>
      </w:r>
      <w:r w:rsidR="000B00F5">
        <w:t xml:space="preserve"> </w:t>
      </w:r>
      <w:r w:rsidR="000B00F5">
        <w:fldChar w:fldCharType="begin"/>
      </w:r>
      <w:r w:rsidR="000B00F5">
        <w:instrText xml:space="preserve"> REF _Ref481670828 \r \h </w:instrText>
      </w:r>
      <w:r w:rsidR="000B00F5">
        <w:fldChar w:fldCharType="separate"/>
      </w:r>
      <w:r w:rsidR="000B00F5">
        <w:t>[3]</w:t>
      </w:r>
      <w:r w:rsidR="000B00F5">
        <w:fldChar w:fldCharType="end"/>
      </w:r>
      <w:r>
        <w:t xml:space="preserve">, large delay CDD and layer shifting have the same performance but different implementation impacts.  Because large delay forms a sum and difference of layers, this increases the cubic metric, which is undesirable in UEs.  </w:t>
      </w:r>
      <w:r w:rsidR="00B04B8C">
        <w:t>Moreover, since single codeword transmission is used in</w:t>
      </w:r>
      <w:r w:rsidR="00FC20E2">
        <w:t xml:space="preserve"> NR for up to rank 4 </w:t>
      </w:r>
      <w:r w:rsidR="00FC20E2">
        <w:fldChar w:fldCharType="begin"/>
      </w:r>
      <w:r w:rsidR="00FC20E2">
        <w:instrText xml:space="preserve"> REF _Ref477889777 \n \h </w:instrText>
      </w:r>
      <w:r w:rsidR="00FC20E2">
        <w:fldChar w:fldCharType="separate"/>
      </w:r>
      <w:r w:rsidR="000B00F5">
        <w:t>[6]</w:t>
      </w:r>
      <w:r w:rsidR="00FC20E2">
        <w:fldChar w:fldCharType="end"/>
      </w:r>
      <w:r w:rsidR="00B04B8C">
        <w:t>, there seems no need for additional diversity techniques for UL spatial multiplexing.</w:t>
      </w:r>
    </w:p>
    <w:p w14:paraId="23434220" w14:textId="77777777" w:rsidR="0022023C" w:rsidRDefault="0022023C" w:rsidP="0022023C">
      <w:pPr>
        <w:pStyle w:val="BodyText"/>
        <w:spacing w:after="0"/>
      </w:pP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764C6D">
      <w:pPr>
        <w:pStyle w:val="BodyText"/>
        <w:numPr>
          <w:ilvl w:val="0"/>
          <w:numId w:val="12"/>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764C6D">
      <w:pPr>
        <w:pStyle w:val="BodyText"/>
        <w:numPr>
          <w:ilvl w:val="1"/>
          <w:numId w:val="12"/>
        </w:numPr>
        <w:spacing w:after="0"/>
      </w:pPr>
      <w:r>
        <w:t xml:space="preserve">One DMRS can be used for both frequency hopping and </w:t>
      </w:r>
      <w:r w:rsidR="00166EF0">
        <w:t>for precoder / antenna cycling</w:t>
      </w:r>
    </w:p>
    <w:p w14:paraId="3E2F57AE" w14:textId="1ACFC282" w:rsidR="00166EF0" w:rsidRDefault="00166EF0" w:rsidP="00764C6D">
      <w:pPr>
        <w:pStyle w:val="BodyText"/>
        <w:numPr>
          <w:ilvl w:val="1"/>
          <w:numId w:val="12"/>
        </w:numPr>
        <w:spacing w:after="0"/>
      </w:pPr>
      <w:r>
        <w:t>Non-transparent diversity requires multiple DMRS per hop</w:t>
      </w:r>
    </w:p>
    <w:p w14:paraId="4C2594D2" w14:textId="2071D9F6" w:rsidR="00E77E20" w:rsidRDefault="00E77E20" w:rsidP="00764C6D">
      <w:pPr>
        <w:pStyle w:val="BodyText"/>
        <w:numPr>
          <w:ilvl w:val="0"/>
          <w:numId w:val="12"/>
        </w:numPr>
        <w:spacing w:after="0"/>
      </w:pPr>
      <w:r>
        <w:t>Space-time/frequency coding schemes can increase cubic metric</w:t>
      </w:r>
      <w:r w:rsidR="00861EFA">
        <w:t xml:space="preserve"> and/or receiver complexity</w:t>
      </w:r>
      <w:r>
        <w:t xml:space="preserve">, limiting their applicability in </w:t>
      </w:r>
      <w:r w:rsidR="00861EFA">
        <w:t>UEs and potentially complicating gNB receivers.</w:t>
      </w:r>
    </w:p>
    <w:p w14:paraId="58CB1B39" w14:textId="77777777" w:rsidR="00E77E20" w:rsidRDefault="00E77E20" w:rsidP="00764C6D">
      <w:pPr>
        <w:pStyle w:val="BodyText"/>
        <w:numPr>
          <w:ilvl w:val="0"/>
          <w:numId w:val="12"/>
        </w:numPr>
        <w:spacing w:after="0"/>
      </w:pPr>
      <w:r>
        <w:t xml:space="preserve">The gains of open loop diversity in UEs can be difficult to </w:t>
      </w:r>
      <w:r w:rsidR="00D51F51">
        <w:t xml:space="preserve">reliably </w:t>
      </w:r>
      <w:r>
        <w:t>achieve due to antenna gain imbalances.</w:t>
      </w:r>
    </w:p>
    <w:p w14:paraId="64E6C009" w14:textId="77777777" w:rsidR="00D815F9" w:rsidRDefault="00D815F9" w:rsidP="00764C6D">
      <w:pPr>
        <w:pStyle w:val="BodyText"/>
        <w:numPr>
          <w:ilvl w:val="0"/>
          <w:numId w:val="12"/>
        </w:numPr>
      </w:pPr>
      <w:r>
        <w:t>Single codeword operation provides diversity</w:t>
      </w:r>
      <w:r w:rsidR="00BE47E2">
        <w:t xml:space="preserve"> for UL SU-MIMO</w:t>
      </w:r>
      <w:r>
        <w:t>, and so additional diversity techniques are not needed in this case.</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764C6D">
      <w:pPr>
        <w:pStyle w:val="BodyText"/>
        <w:numPr>
          <w:ilvl w:val="0"/>
          <w:numId w:val="9"/>
        </w:numPr>
        <w:spacing w:after="0"/>
        <w:rPr>
          <w:szCs w:val="20"/>
        </w:rPr>
      </w:pPr>
      <w:r>
        <w:rPr>
          <w:szCs w:val="20"/>
        </w:rPr>
        <w:t>Transparent and non-transparent UL TxD designs take into account other diversity sources such as frequency hopping</w:t>
      </w:r>
    </w:p>
    <w:p w14:paraId="5FACCB5C" w14:textId="006F9012" w:rsidR="00AA0727" w:rsidRDefault="00AA0727" w:rsidP="00764C6D">
      <w:pPr>
        <w:pStyle w:val="BodyText"/>
        <w:numPr>
          <w:ilvl w:val="0"/>
          <w:numId w:val="9"/>
        </w:numPr>
        <w:spacing w:after="0"/>
        <w:rPr>
          <w:szCs w:val="20"/>
        </w:rPr>
      </w:pPr>
      <w:r>
        <w:rPr>
          <w:szCs w:val="20"/>
        </w:rPr>
        <w:t>Provide robust spatially multiplexed PUSCH using single codeword transmission</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764C6D">
      <w:pPr>
        <w:pStyle w:val="BodyText"/>
        <w:numPr>
          <w:ilvl w:val="0"/>
          <w:numId w:val="14"/>
        </w:numPr>
        <w:rPr>
          <w:b/>
        </w:rPr>
      </w:pPr>
      <w:r w:rsidRPr="004425B5">
        <w:rPr>
          <w:b/>
        </w:rPr>
        <w:t>Increased uplink range</w:t>
      </w:r>
      <w:r w:rsidR="00643DEE" w:rsidRPr="004425B5">
        <w:rPr>
          <w:b/>
        </w:rPr>
        <w:t xml:space="preserve"> and capacity</w:t>
      </w:r>
    </w:p>
    <w:p w14:paraId="77310B71" w14:textId="77777777"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764C6D">
      <w:pPr>
        <w:pStyle w:val="BodyText"/>
        <w:keepNext/>
        <w:numPr>
          <w:ilvl w:val="0"/>
          <w:numId w:val="14"/>
        </w:numPr>
        <w:rPr>
          <w:b/>
        </w:rPr>
      </w:pPr>
      <w:r w:rsidRPr="00741EB8">
        <w:rPr>
          <w:b/>
        </w:rPr>
        <w:t>Reduced UE battery consumption</w:t>
      </w:r>
    </w:p>
    <w:p w14:paraId="4C0E2D51" w14:textId="565DBCEA"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0B00F5">
        <w:t>[4]</w:t>
      </w:r>
      <w:r w:rsidR="005C544E">
        <w:fldChar w:fldCharType="end"/>
      </w:r>
      <w:r w:rsidR="005C544E">
        <w:fldChar w:fldCharType="begin"/>
      </w:r>
      <w:r w:rsidR="005C544E">
        <w:instrText xml:space="preserve"> REF _Ref471577914 \r \h </w:instrText>
      </w:r>
      <w:r w:rsidR="005C544E">
        <w:fldChar w:fldCharType="separate"/>
      </w:r>
      <w:r w:rsidR="000B00F5">
        <w:t>[5]</w:t>
      </w:r>
      <w:r w:rsidR="005C544E">
        <w:fldChar w:fldCharType="end"/>
      </w:r>
      <w:r w:rsidR="00A36263">
        <w:t xml:space="preserve">.  These studies showed that 2 Tx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764C6D">
      <w:pPr>
        <w:pStyle w:val="BodyText"/>
        <w:numPr>
          <w:ilvl w:val="0"/>
          <w:numId w:val="14"/>
        </w:numPr>
        <w:rPr>
          <w:b/>
        </w:rPr>
      </w:pPr>
      <w:r w:rsidRPr="00741EB8">
        <w:rPr>
          <w:b/>
        </w:rPr>
        <w:t>Better use of PA power when the UE has multiple PAs</w:t>
      </w:r>
    </w:p>
    <w:p w14:paraId="4F53BE6D" w14:textId="25182F8D" w:rsidR="00FE02AB" w:rsidRDefault="00082B85" w:rsidP="00893656">
      <w:pPr>
        <w:pStyle w:val="BodyText"/>
      </w:pPr>
      <w:r w:rsidRPr="00082B85">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w:t>
      </w:r>
      <w:r w:rsidRPr="00082B85">
        <w:lastRenderedPageBreak/>
        <w:t xml:space="preserve">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764C6D">
      <w:pPr>
        <w:pStyle w:val="BodyText"/>
        <w:numPr>
          <w:ilvl w:val="0"/>
          <w:numId w:val="13"/>
        </w:numPr>
        <w:spacing w:after="0"/>
      </w:pPr>
      <w:r>
        <w:t xml:space="preserve">UL open loop  </w:t>
      </w:r>
    </w:p>
    <w:p w14:paraId="0F709D95" w14:textId="77777777" w:rsidR="0078120B" w:rsidRDefault="0078120B" w:rsidP="00764C6D">
      <w:pPr>
        <w:pStyle w:val="BodyText"/>
        <w:numPr>
          <w:ilvl w:val="1"/>
          <w:numId w:val="13"/>
        </w:numPr>
        <w:spacing w:after="0"/>
      </w:pPr>
      <w:r>
        <w:t>Can’t improve range, since not all UEs will support it.</w:t>
      </w:r>
    </w:p>
    <w:p w14:paraId="6E5A255B" w14:textId="77777777" w:rsidR="003531CC" w:rsidRDefault="0078120B" w:rsidP="00764C6D">
      <w:pPr>
        <w:pStyle w:val="BodyText"/>
        <w:numPr>
          <w:ilvl w:val="1"/>
          <w:numId w:val="13"/>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764C6D">
      <w:pPr>
        <w:pStyle w:val="BodyText"/>
        <w:numPr>
          <w:ilvl w:val="1"/>
          <w:numId w:val="13"/>
        </w:numPr>
        <w:spacing w:after="0"/>
      </w:pPr>
      <w:r>
        <w:t>Requires further study on UE power saving, due to losses in efficiency with &gt;1 Tx chains and UE PA architecture dependencies.</w:t>
      </w:r>
    </w:p>
    <w:p w14:paraId="32A4AA21" w14:textId="77777777" w:rsidR="00FE02AB" w:rsidRDefault="003531CC" w:rsidP="00764C6D">
      <w:pPr>
        <w:pStyle w:val="BodyText"/>
        <w:numPr>
          <w:ilvl w:val="0"/>
          <w:numId w:val="13"/>
        </w:numPr>
        <w:spacing w:after="0"/>
      </w:pPr>
      <w:r>
        <w:t>Single antenna operation</w:t>
      </w:r>
      <w:r w:rsidR="00556C15">
        <w:t xml:space="preserve"> </w:t>
      </w:r>
    </w:p>
    <w:p w14:paraId="35A3995D" w14:textId="59BFB34B" w:rsidR="003531CC" w:rsidRDefault="00FE02AB" w:rsidP="00764C6D">
      <w:pPr>
        <w:pStyle w:val="BodyText"/>
        <w:numPr>
          <w:ilvl w:val="1"/>
          <w:numId w:val="13"/>
        </w:numPr>
      </w:pPr>
      <w:r>
        <w:t>C</w:t>
      </w:r>
      <w:r w:rsidR="003531CC">
        <w:t>an be used to combine Tx paths’ power in a standards transparent way, e.g. with precoder cycling or delay diversity</w:t>
      </w:r>
    </w:p>
    <w:p w14:paraId="414BB20E" w14:textId="197D4472" w:rsidR="003B663C" w:rsidRDefault="003B663C" w:rsidP="002606FD">
      <w:pPr>
        <w:pStyle w:val="Heading1"/>
        <w:spacing w:before="480"/>
        <w:rPr>
          <w:lang w:eastAsia="ja-JP"/>
        </w:rPr>
      </w:pPr>
      <w:r>
        <w:rPr>
          <w:lang w:eastAsia="ja-JP"/>
        </w:rPr>
        <w:t>Single antenna transmission</w:t>
      </w:r>
    </w:p>
    <w:p w14:paraId="533ED342" w14:textId="79FD732A" w:rsidR="003B663C" w:rsidRDefault="003B663C" w:rsidP="003B663C">
      <w:pPr>
        <w:pStyle w:val="BodyText"/>
      </w:pPr>
      <w:r>
        <w:t xml:space="preserve">UEs can have large amounts of antenna gain imbalance, e.g. when the user covers an antenna.  This substantially reduces open loop diversity gain.  However, long term antenna selection is possible where the UE turns off a Tx chain when it is heavily shadowed.  This form of antenna selection can save quite a bit of power, and is possible in UE implementation, </w:t>
      </w:r>
      <w:r w:rsidRPr="000575A2">
        <w:t>e.g. based on DL measurements or internal measurements of Tx path efficiency (e.g. VSWR).</w:t>
      </w:r>
    </w:p>
    <w:p w14:paraId="2B74E3F2" w14:textId="77777777" w:rsidR="00AA0CDA" w:rsidRDefault="00AA0CDA" w:rsidP="003B663C">
      <w:pPr>
        <w:pStyle w:val="BodyText"/>
      </w:pPr>
      <w:r>
        <w:t>As discussed above, non-transparent TxD schemes can reduce interference suppression gains.  Furthermore, it is desirable in the UE to have a minimum number of Tx chains active to save power.  Consequently, it can be desirable to switch to a single antenna transmission mode from both a UE power and eNB interference standpoint.</w:t>
      </w:r>
    </w:p>
    <w:p w14:paraId="0B38116A" w14:textId="4CDD9026" w:rsidR="00AA0CDA" w:rsidRDefault="00AA0CDA" w:rsidP="003B663C">
      <w:pPr>
        <w:pStyle w:val="BodyText"/>
      </w:pPr>
      <w:r>
        <w:t xml:space="preserve">Finally, some networks may not choose to implement multiple UE transmission.  Multi-Tx antenna capable UEs operating in such networks will need a single antenna operating mode.  </w:t>
      </w:r>
    </w:p>
    <w:p w14:paraId="2C3B7BAC" w14:textId="77777777" w:rsidR="003B663C" w:rsidRDefault="003B663C" w:rsidP="003B663C">
      <w:pPr>
        <w:pStyle w:val="BodyText"/>
        <w:spacing w:after="0"/>
      </w:pPr>
      <w:r w:rsidRPr="001847A1">
        <w:rPr>
          <w:b/>
        </w:rPr>
        <w:t>Observations</w:t>
      </w:r>
      <w:r>
        <w:t>:</w:t>
      </w:r>
    </w:p>
    <w:p w14:paraId="6F118DEA" w14:textId="77777777" w:rsidR="003B663C" w:rsidRDefault="003B663C" w:rsidP="00764C6D">
      <w:pPr>
        <w:pStyle w:val="BodyText"/>
        <w:numPr>
          <w:ilvl w:val="0"/>
          <w:numId w:val="12"/>
        </w:numPr>
        <w:spacing w:after="0"/>
      </w:pPr>
      <w:r>
        <w:t>Implementation based long term antenna selection can improve both link performance and UE battery life.</w:t>
      </w:r>
    </w:p>
    <w:p w14:paraId="0F7E432C" w14:textId="52B84003" w:rsidR="003B663C" w:rsidRDefault="003B663C" w:rsidP="00764C6D">
      <w:pPr>
        <w:pStyle w:val="BodyText"/>
        <w:numPr>
          <w:ilvl w:val="0"/>
          <w:numId w:val="12"/>
        </w:numPr>
        <w:spacing w:after="0"/>
      </w:pPr>
      <w:r>
        <w:t>Single antenna operation is compatible with both long term UE antenna selection and transparent open loop diversity</w:t>
      </w:r>
    </w:p>
    <w:p w14:paraId="017C86A4" w14:textId="07ABD39E" w:rsidR="002677AC" w:rsidRDefault="002677AC" w:rsidP="00764C6D">
      <w:pPr>
        <w:pStyle w:val="BodyText"/>
        <w:numPr>
          <w:ilvl w:val="0"/>
          <w:numId w:val="12"/>
        </w:numPr>
        <w:spacing w:after="0"/>
      </w:pPr>
      <w:r>
        <w:t xml:space="preserve">Multi-Tx capable UEs need a single antenna operating mode for networks that don’t support multi-Tx </w:t>
      </w:r>
    </w:p>
    <w:p w14:paraId="2B38AD6C" w14:textId="77777777" w:rsidR="003B663C" w:rsidRDefault="003B663C" w:rsidP="003B663C">
      <w:pPr>
        <w:pStyle w:val="BodyText"/>
        <w:spacing w:after="0"/>
      </w:pPr>
      <w:r>
        <w:rPr>
          <w:b/>
        </w:rPr>
        <w:t>Proposals</w:t>
      </w:r>
      <w:r>
        <w:t>:</w:t>
      </w:r>
    </w:p>
    <w:p w14:paraId="0B8E972A" w14:textId="77777777" w:rsidR="003B663C" w:rsidRDefault="003B663C" w:rsidP="00764C6D">
      <w:pPr>
        <w:pStyle w:val="BodyText"/>
        <w:numPr>
          <w:ilvl w:val="0"/>
          <w:numId w:val="9"/>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7849DBE7" w14:textId="77777777" w:rsidR="003B663C" w:rsidRPr="00E87E33" w:rsidRDefault="003B663C" w:rsidP="00764C6D">
      <w:pPr>
        <w:pStyle w:val="BodyText"/>
        <w:numPr>
          <w:ilvl w:val="0"/>
          <w:numId w:val="9"/>
        </w:numPr>
        <w:spacing w:after="0"/>
        <w:rPr>
          <w:szCs w:val="20"/>
        </w:rPr>
      </w:pPr>
      <w:r w:rsidRPr="00E87E33">
        <w:rPr>
          <w:szCs w:val="20"/>
        </w:rPr>
        <w:t xml:space="preserve">UEs with Multi-Tx antenna capability can be configured for single antenna port transmission </w:t>
      </w:r>
    </w:p>
    <w:p w14:paraId="0FE7C9D9" w14:textId="47AFE0B1" w:rsidR="003F4566" w:rsidRDefault="003F4566" w:rsidP="002606FD">
      <w:pPr>
        <w:pStyle w:val="Heading1"/>
        <w:spacing w:before="480"/>
        <w:rPr>
          <w:lang w:eastAsia="ja-JP"/>
        </w:rPr>
      </w:pPr>
      <w:r>
        <w:rPr>
          <w:lang w:eastAsia="ja-JP"/>
        </w:rPr>
        <w:t>Recent developments</w:t>
      </w:r>
    </w:p>
    <w:p w14:paraId="5C52D847" w14:textId="2CC3B088" w:rsidR="003F4566" w:rsidRDefault="003F4566" w:rsidP="003F4566">
      <w:pPr>
        <w:pStyle w:val="BodyText"/>
      </w:pPr>
      <w:r>
        <w:t>As discussed above, if transmit diversity is specified, it is normally specified for the dow</w:t>
      </w:r>
      <w:r w:rsidR="00215C4C">
        <w:t xml:space="preserve">nlink first.  In RAN1#88bis, a working assumption was reached </w:t>
      </w:r>
      <w:r>
        <w:t xml:space="preserve">that both PDCCH and PBCH use single port transmission.  </w:t>
      </w:r>
      <w:r w:rsidR="002059E5">
        <w:t xml:space="preserve">While </w:t>
      </w:r>
      <w:r>
        <w:t xml:space="preserve">PDSCH </w:t>
      </w:r>
      <w:r w:rsidR="002059E5">
        <w:t xml:space="preserve">is not yet decided, it </w:t>
      </w:r>
      <w:r>
        <w:t>relies on PDCCH and PBCH to be received at all, and since they are not able to exploit link adaptation to the degree that PDSCH can, the use of transmit diversity for these channels is normally considered more important than for PDSCH.  Therefore, we see no motivation to use non-transparent Tx diversity for PDSCH in Rel-15.</w:t>
      </w:r>
      <w:r w:rsidR="002059E5">
        <w:t xml:space="preserve">  Then since TxD is not used for downlink control channels, and is not motivated for downlink shared channels, we do not see why PUSCH or PUCCH should support TxD in Rel-15.</w:t>
      </w:r>
    </w:p>
    <w:p w14:paraId="713FFB40" w14:textId="77777777" w:rsidR="003F4566" w:rsidRDefault="003F4566" w:rsidP="003F4566">
      <w:pPr>
        <w:pStyle w:val="BodyText"/>
        <w:spacing w:after="0"/>
      </w:pPr>
      <w:r w:rsidRPr="00243B92">
        <w:rPr>
          <w:b/>
        </w:rPr>
        <w:t>Observations</w:t>
      </w:r>
      <w:r>
        <w:t>:</w:t>
      </w:r>
    </w:p>
    <w:p w14:paraId="3E96AFD3" w14:textId="77777777" w:rsidR="003F4566" w:rsidRDefault="003F4566" w:rsidP="00764C6D">
      <w:pPr>
        <w:pStyle w:val="BodyText"/>
        <w:numPr>
          <w:ilvl w:val="0"/>
          <w:numId w:val="15"/>
        </w:numPr>
        <w:spacing w:after="0"/>
      </w:pPr>
      <w:r>
        <w:t>PDCCH and PBCH support at most 1 DMRS port in Rel-15 NR</w:t>
      </w:r>
    </w:p>
    <w:p w14:paraId="35E408F2" w14:textId="29F13FFD" w:rsidR="003F4566" w:rsidRDefault="002059E5" w:rsidP="00764C6D">
      <w:pPr>
        <w:pStyle w:val="BodyText"/>
        <w:numPr>
          <w:ilvl w:val="0"/>
          <w:numId w:val="15"/>
        </w:numPr>
        <w:spacing w:after="0"/>
      </w:pPr>
      <w:r>
        <w:t>C</w:t>
      </w:r>
      <w:r w:rsidR="003F4566">
        <w:t>ontrol channels typically benefit more from TxD than shared channels</w:t>
      </w:r>
    </w:p>
    <w:p w14:paraId="273096CB" w14:textId="2C260595" w:rsidR="002059E5" w:rsidRDefault="002059E5" w:rsidP="00764C6D">
      <w:pPr>
        <w:pStyle w:val="BodyText"/>
        <w:numPr>
          <w:ilvl w:val="0"/>
          <w:numId w:val="15"/>
        </w:numPr>
        <w:spacing w:after="0"/>
      </w:pPr>
      <w:r>
        <w:t>If TxD is supported, it is normally first specified for the downlink</w:t>
      </w:r>
    </w:p>
    <w:p w14:paraId="0837F6D9" w14:textId="06F2F93D" w:rsidR="003F4566" w:rsidRDefault="003F4566" w:rsidP="00764C6D">
      <w:pPr>
        <w:pStyle w:val="BodyText"/>
        <w:numPr>
          <w:ilvl w:val="0"/>
          <w:numId w:val="15"/>
        </w:numPr>
      </w:pPr>
      <w:r>
        <w:t>Therefore, non-transparent TxD does not appear motivated for PDSCH in Rel-15</w:t>
      </w:r>
      <w:r w:rsidR="002059E5">
        <w:t xml:space="preserve"> NR</w:t>
      </w:r>
    </w:p>
    <w:p w14:paraId="293BDDCA" w14:textId="4B978C22" w:rsidR="002606FD" w:rsidRDefault="002606FD" w:rsidP="002606FD">
      <w:pPr>
        <w:pStyle w:val="Heading1"/>
        <w:spacing w:before="480"/>
        <w:rPr>
          <w:lang w:eastAsia="ja-JP"/>
        </w:rPr>
      </w:pPr>
      <w:r w:rsidRPr="009D2B97">
        <w:rPr>
          <w:lang w:eastAsia="ja-JP"/>
        </w:rPr>
        <w:lastRenderedPageBreak/>
        <w:t>Conclusion</w:t>
      </w:r>
      <w:r>
        <w:rPr>
          <w:lang w:eastAsia="ja-JP"/>
        </w:rPr>
        <w:t>s</w:t>
      </w:r>
    </w:p>
    <w:p w14:paraId="78B85988" w14:textId="2965C609" w:rsidR="002606FD" w:rsidRDefault="002606FD" w:rsidP="002606FD">
      <w:pPr>
        <w:pStyle w:val="BodyT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62682B7C" w14:textId="7AB866DB" w:rsidR="002C0F54" w:rsidRDefault="002C0F54" w:rsidP="00764C6D">
      <w:pPr>
        <w:pStyle w:val="BodyText"/>
        <w:numPr>
          <w:ilvl w:val="0"/>
          <w:numId w:val="9"/>
        </w:numPr>
        <w:spacing w:after="0"/>
      </w:pPr>
      <w:r>
        <w:t>The use case for diversity is strongest for DFT-S-OFDM</w:t>
      </w:r>
      <w:r w:rsidR="009D3CAA">
        <w:t xml:space="preserve"> (rather than CP OFDM)</w:t>
      </w:r>
    </w:p>
    <w:p w14:paraId="4FC724B6" w14:textId="3ED0916F" w:rsidR="00FF6291" w:rsidRDefault="00FF6291" w:rsidP="00764C6D">
      <w:pPr>
        <w:pStyle w:val="BodyText"/>
        <w:numPr>
          <w:ilvl w:val="0"/>
          <w:numId w:val="9"/>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1B669373" w:rsidR="00186440" w:rsidRDefault="005B206E" w:rsidP="00764C6D">
      <w:pPr>
        <w:pStyle w:val="BodyText"/>
        <w:numPr>
          <w:ilvl w:val="1"/>
          <w:numId w:val="9"/>
        </w:numPr>
        <w:spacing w:after="0"/>
      </w:pPr>
      <w:r>
        <w:t xml:space="preserve">Use cases are limited to relatively small # </w:t>
      </w:r>
      <w:r w:rsidR="00B34D5D">
        <w:t xml:space="preserve">of </w:t>
      </w:r>
      <w:r>
        <w:t xml:space="preserve">gNB antennas, </w:t>
      </w:r>
      <w:r w:rsidR="001142FC">
        <w:t>poor CSI, and where UL IRC losses from TxD are small</w:t>
      </w:r>
      <w:r w:rsidR="00F142FE">
        <w:t>, and where gNBs do not use non-linear receivers to suppress interference from non-transparent TxD</w:t>
      </w:r>
      <w:r w:rsidR="001142FC">
        <w:t>.</w:t>
      </w:r>
    </w:p>
    <w:p w14:paraId="74A9B484" w14:textId="0B66BE2C" w:rsidR="001142FC" w:rsidRDefault="001142FC" w:rsidP="00764C6D">
      <w:pPr>
        <w:pStyle w:val="BodyText"/>
        <w:numPr>
          <w:ilvl w:val="1"/>
          <w:numId w:val="9"/>
        </w:numPr>
        <w:spacing w:after="0"/>
      </w:pPr>
      <w:r>
        <w:t>Schemes are restricted by UE implementation issues such as cubic me</w:t>
      </w:r>
      <w:r w:rsidR="002F155D">
        <w:t xml:space="preserve">tric </w:t>
      </w:r>
      <w:r w:rsidR="00D06527">
        <w:t>and antenna gain imbalance</w:t>
      </w:r>
    </w:p>
    <w:p w14:paraId="2D7F1647" w14:textId="77777777" w:rsidR="001709E9" w:rsidRDefault="001709E9" w:rsidP="00764C6D">
      <w:pPr>
        <w:pStyle w:val="BodyText"/>
        <w:numPr>
          <w:ilvl w:val="1"/>
          <w:numId w:val="9"/>
        </w:numPr>
        <w:spacing w:after="0"/>
      </w:pPr>
      <w:r>
        <w:t>Transparent diversity techniques such as precoder cycling or delay diversity can be used</w:t>
      </w:r>
    </w:p>
    <w:p w14:paraId="7F86720A" w14:textId="77777777" w:rsidR="003273A2" w:rsidRDefault="003273A2" w:rsidP="00764C6D">
      <w:pPr>
        <w:pStyle w:val="BodyText"/>
        <w:numPr>
          <w:ilvl w:val="0"/>
          <w:numId w:val="9"/>
        </w:numPr>
        <w:spacing w:after="0"/>
      </w:pPr>
      <w:r>
        <w:t xml:space="preserve">UE and network benefits of </w:t>
      </w:r>
      <w:r w:rsidR="001709E9">
        <w:t xml:space="preserve">non-transparent </w:t>
      </w:r>
      <w:r>
        <w:t>open loop are also not clear</w:t>
      </w:r>
    </w:p>
    <w:p w14:paraId="63D1D813" w14:textId="19D91B54" w:rsidR="003273A2" w:rsidRDefault="003273A2" w:rsidP="00764C6D">
      <w:pPr>
        <w:pStyle w:val="BodyText"/>
        <w:numPr>
          <w:ilvl w:val="1"/>
          <w:numId w:val="9"/>
        </w:numPr>
        <w:spacing w:after="0"/>
      </w:pPr>
      <w:r>
        <w:t xml:space="preserve">Can’t improve </w:t>
      </w:r>
      <w:r w:rsidR="00F142FE">
        <w:t xml:space="preserve">cell </w:t>
      </w:r>
      <w:r>
        <w:t>range, since not all UEs will support it.</w:t>
      </w:r>
    </w:p>
    <w:p w14:paraId="045B4738" w14:textId="77777777" w:rsidR="003273A2" w:rsidRDefault="003273A2" w:rsidP="00764C6D">
      <w:pPr>
        <w:pStyle w:val="BodyText"/>
        <w:numPr>
          <w:ilvl w:val="1"/>
          <w:numId w:val="9"/>
        </w:numPr>
        <w:spacing w:after="0"/>
      </w:pPr>
      <w:r>
        <w:t xml:space="preserve">Has potential capacity benefit </w:t>
      </w:r>
      <w:r w:rsidR="001709E9">
        <w:t xml:space="preserve">only </w:t>
      </w:r>
      <w:r>
        <w:t>in a limited set of scenarios where it performs better than open loop, including open loop’s impact on IRC receivers</w:t>
      </w:r>
    </w:p>
    <w:p w14:paraId="3CC7DB8D" w14:textId="77777777" w:rsidR="003273A2" w:rsidRDefault="003273A2" w:rsidP="00764C6D">
      <w:pPr>
        <w:pStyle w:val="BodyText"/>
        <w:numPr>
          <w:ilvl w:val="1"/>
          <w:numId w:val="9"/>
        </w:numPr>
        <w:spacing w:after="0"/>
      </w:pPr>
      <w:r>
        <w:t>Requires further study on UE power saving, due to losses in efficiency with &gt;1 Tx chains and UE PA architecture dependencies.</w:t>
      </w:r>
    </w:p>
    <w:p w14:paraId="5A3E9081" w14:textId="4F3085B0" w:rsidR="001142FC" w:rsidRDefault="001142FC" w:rsidP="00764C6D">
      <w:pPr>
        <w:pStyle w:val="BodyText"/>
        <w:numPr>
          <w:ilvl w:val="0"/>
          <w:numId w:val="9"/>
        </w:numPr>
        <w:spacing w:after="0"/>
      </w:pPr>
      <w:r>
        <w:t>Implementation based long term antenna selection can improve both link performance and UE battery life.</w:t>
      </w:r>
    </w:p>
    <w:p w14:paraId="1385A0F5" w14:textId="51AAAC91" w:rsidR="007667A7" w:rsidRDefault="007667A7" w:rsidP="007667A7">
      <w:pPr>
        <w:pStyle w:val="BodyText"/>
        <w:numPr>
          <w:ilvl w:val="0"/>
          <w:numId w:val="9"/>
        </w:numPr>
        <w:spacing w:after="0"/>
      </w:pPr>
      <w:r w:rsidRPr="007667A7">
        <w:t>Multi-Tx capable UEs need a single antenna operating mode for networks that don’t support multi-Tx</w:t>
      </w:r>
    </w:p>
    <w:p w14:paraId="2D3A8E5D" w14:textId="2E407FDD" w:rsidR="003273A2" w:rsidRDefault="001142FC" w:rsidP="00764C6D">
      <w:pPr>
        <w:pStyle w:val="BodyText"/>
        <w:numPr>
          <w:ilvl w:val="0"/>
          <w:numId w:val="9"/>
        </w:numPr>
        <w:spacing w:after="0"/>
      </w:pPr>
      <w:r>
        <w:t>Single antenna operation</w:t>
      </w:r>
      <w:r w:rsidR="00752136">
        <w:t xml:space="preserve"> with transparent TxD</w:t>
      </w:r>
    </w:p>
    <w:p w14:paraId="3A745609" w14:textId="77777777" w:rsidR="001142FC" w:rsidRDefault="003273A2" w:rsidP="00764C6D">
      <w:pPr>
        <w:pStyle w:val="BodyText"/>
        <w:numPr>
          <w:ilvl w:val="1"/>
          <w:numId w:val="9"/>
        </w:numPr>
        <w:spacing w:after="0"/>
      </w:pPr>
      <w:r>
        <w:t xml:space="preserve">Can </w:t>
      </w:r>
      <w:r w:rsidR="001142FC">
        <w:t>be used to combine Tx paths’ power in a standards transparent way, e.g. with precoder cycling or delay diversity.</w:t>
      </w:r>
    </w:p>
    <w:p w14:paraId="1C155F5A" w14:textId="426826BA" w:rsidR="001142FC" w:rsidRDefault="003273A2" w:rsidP="00764C6D">
      <w:pPr>
        <w:pStyle w:val="BodyText"/>
        <w:numPr>
          <w:ilvl w:val="1"/>
          <w:numId w:val="9"/>
        </w:numPr>
        <w:spacing w:after="0"/>
      </w:pPr>
      <w:r>
        <w:t xml:space="preserve">Is </w:t>
      </w:r>
      <w:r w:rsidR="001142FC">
        <w:t xml:space="preserve">compatible with both long term UE antenna selection and transparent open loop diversity </w:t>
      </w:r>
    </w:p>
    <w:p w14:paraId="30A28098" w14:textId="6F90E939" w:rsidR="00752136" w:rsidRDefault="00752136" w:rsidP="00764C6D">
      <w:pPr>
        <w:pStyle w:val="BodyText"/>
        <w:numPr>
          <w:ilvl w:val="1"/>
          <w:numId w:val="9"/>
        </w:numPr>
        <w:spacing w:after="0"/>
      </w:pPr>
      <w:r>
        <w:t xml:space="preserve">Can save power in the UE by allowing the UE to turn off </w:t>
      </w:r>
      <w:r w:rsidR="00820800">
        <w:t>transmit antennas when unneeded</w:t>
      </w:r>
    </w:p>
    <w:p w14:paraId="7AF7CF7E" w14:textId="6B295B39" w:rsidR="001142FC" w:rsidRDefault="001142FC" w:rsidP="00764C6D">
      <w:pPr>
        <w:pStyle w:val="BodyText"/>
        <w:numPr>
          <w:ilvl w:val="0"/>
          <w:numId w:val="9"/>
        </w:numPr>
        <w:spacing w:after="0"/>
      </w:pPr>
      <w:r>
        <w:t>Single codeword operation provides diversity</w:t>
      </w:r>
      <w:r w:rsidR="00BE47E2">
        <w:t xml:space="preserve"> for UL SU-MIMO</w:t>
      </w:r>
      <w:r>
        <w:t>, and so additional diversity techniques are not needed in this case.</w:t>
      </w:r>
    </w:p>
    <w:p w14:paraId="2C9D7918" w14:textId="303B4A0A" w:rsidR="00666715" w:rsidRDefault="00666715" w:rsidP="00666715">
      <w:pPr>
        <w:pStyle w:val="BodyText"/>
        <w:spacing w:after="0"/>
      </w:pPr>
    </w:p>
    <w:p w14:paraId="6D941D93" w14:textId="67E9BB94" w:rsidR="00666715" w:rsidRDefault="00666715" w:rsidP="00666715">
      <w:pPr>
        <w:pStyle w:val="BodyText"/>
        <w:spacing w:after="0"/>
      </w:pPr>
      <w:r>
        <w:t>Moreover, given that the working assumption is that both NR PDCCH and PBCH support at most 1 port in Rel-15 and that transmit diversity is first used for control channels and for downlink than on the uplink, it is difficult to motivate uplink transmit diversity for either PUCCH or PUSCH in Rel-15.  Therefore, we propose: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680FEFC8" w14:textId="33AB9644" w:rsidR="0020268B" w:rsidRPr="00D06527" w:rsidRDefault="00D06527" w:rsidP="00764C6D">
      <w:pPr>
        <w:pStyle w:val="BodyText"/>
        <w:numPr>
          <w:ilvl w:val="0"/>
          <w:numId w:val="9"/>
        </w:numPr>
        <w:spacing w:after="0"/>
        <w:rPr>
          <w:szCs w:val="20"/>
        </w:rPr>
      </w:pPr>
      <w:r w:rsidRPr="00D06527">
        <w:rPr>
          <w:szCs w:val="20"/>
        </w:rPr>
        <w:t xml:space="preserve">Transparent TxD using 1 antenna port for </w:t>
      </w:r>
      <w:r w:rsidR="00902197" w:rsidRPr="00D06527">
        <w:rPr>
          <w:szCs w:val="20"/>
        </w:rPr>
        <w:t xml:space="preserve">PUCCH and PUSCH </w:t>
      </w:r>
      <w:r w:rsidR="00F142FE" w:rsidRPr="00D06527">
        <w:rPr>
          <w:szCs w:val="20"/>
        </w:rPr>
        <w:t xml:space="preserve">is </w:t>
      </w:r>
      <w:r w:rsidR="00E87E33" w:rsidRPr="00D06527">
        <w:rPr>
          <w:szCs w:val="20"/>
        </w:rPr>
        <w:t>supported in NR</w:t>
      </w:r>
      <w:r w:rsidR="0020268B" w:rsidRPr="00D06527">
        <w:rPr>
          <w:szCs w:val="20"/>
        </w:rPr>
        <w:t xml:space="preserve"> </w:t>
      </w:r>
    </w:p>
    <w:p w14:paraId="12A24B1A" w14:textId="1621A9CC" w:rsidR="002606FD" w:rsidRDefault="0020268B" w:rsidP="00764C6D">
      <w:pPr>
        <w:pStyle w:val="BodyText"/>
        <w:numPr>
          <w:ilvl w:val="0"/>
          <w:numId w:val="9"/>
        </w:numPr>
        <w:spacing w:after="0"/>
        <w:rPr>
          <w:szCs w:val="20"/>
        </w:rPr>
      </w:pPr>
      <w:r w:rsidRPr="0020268B">
        <w:rPr>
          <w:szCs w:val="20"/>
        </w:rPr>
        <w:t>UEs with Multi-Tx antenna capability can be configured for single antenna port transmission</w:t>
      </w:r>
    </w:p>
    <w:p w14:paraId="18F9AD98" w14:textId="77777777" w:rsidR="00E87E33" w:rsidRPr="002606FD" w:rsidRDefault="00E87E33" w:rsidP="00764C6D">
      <w:pPr>
        <w:pStyle w:val="BodyText"/>
        <w:numPr>
          <w:ilvl w:val="0"/>
          <w:numId w:val="9"/>
        </w:numPr>
        <w:spacing w:after="0"/>
        <w:rPr>
          <w:szCs w:val="20"/>
        </w:rPr>
      </w:pPr>
      <w:r>
        <w:rPr>
          <w:szCs w:val="20"/>
        </w:rPr>
        <w:t>Single antenna transmission is a fall back mode for UL SU-MIMO</w:t>
      </w:r>
    </w:p>
    <w:p w14:paraId="7727EF5F" w14:textId="52F6C35A" w:rsidR="002606FD" w:rsidRDefault="002606FD" w:rsidP="00764C6D">
      <w:pPr>
        <w:pStyle w:val="BodyText"/>
        <w:numPr>
          <w:ilvl w:val="0"/>
          <w:numId w:val="9"/>
        </w:numPr>
        <w:spacing w:after="0"/>
        <w:rPr>
          <w:szCs w:val="20"/>
        </w:rPr>
      </w:pPr>
      <w:r>
        <w:rPr>
          <w:szCs w:val="20"/>
        </w:rPr>
        <w:t>Provide robust spatially multiplexed PUSCH using single codeword transmission</w:t>
      </w:r>
    </w:p>
    <w:p w14:paraId="521701ED" w14:textId="77777777" w:rsidR="003A5B3F" w:rsidRPr="00CE0424" w:rsidRDefault="003A5B3F" w:rsidP="003A5B3F">
      <w:pPr>
        <w:pStyle w:val="Heading1"/>
        <w:spacing w:before="480"/>
      </w:pPr>
      <w:r w:rsidRPr="00CE0424">
        <w:t>References</w:t>
      </w:r>
    </w:p>
    <w:p w14:paraId="3741CFB2" w14:textId="24ED5195" w:rsidR="000B00F5" w:rsidRPr="00EA6FCB" w:rsidRDefault="000B00F5" w:rsidP="000B00F5">
      <w:pPr>
        <w:pStyle w:val="references"/>
        <w:rPr>
          <w:sz w:val="20"/>
          <w:szCs w:val="20"/>
        </w:rPr>
      </w:pPr>
      <w:bookmarkStart w:id="4" w:name="_Ref481671200"/>
      <w:bookmarkStart w:id="5" w:name="_Ref471135543"/>
      <w:r w:rsidRPr="00EA6FCB">
        <w:rPr>
          <w:sz w:val="20"/>
          <w:szCs w:val="20"/>
        </w:rPr>
        <w:t>R1-1702601, “</w:t>
      </w:r>
      <w:r w:rsidRPr="000B00F5">
        <w:rPr>
          <w:sz w:val="20"/>
          <w:szCs w:val="20"/>
        </w:rPr>
        <w:t>On UL diversity transmission scheme</w:t>
      </w:r>
      <w:r w:rsidRPr="00EA6FCB">
        <w:rPr>
          <w:sz w:val="20"/>
          <w:szCs w:val="20"/>
        </w:rPr>
        <w:t>”, Qualcomm, 3GPP TSG RAN WG1 Meeting #88, Athens, Greece, February 13-17, 2017</w:t>
      </w:r>
      <w:bookmarkEnd w:id="4"/>
    </w:p>
    <w:p w14:paraId="567C73BF" w14:textId="70790F0C" w:rsidR="000B00F5" w:rsidRPr="00216E72" w:rsidRDefault="00EA6FCB" w:rsidP="00216E72">
      <w:pPr>
        <w:pStyle w:val="references"/>
        <w:rPr>
          <w:sz w:val="20"/>
          <w:szCs w:val="20"/>
        </w:rPr>
      </w:pPr>
      <w:bookmarkStart w:id="6" w:name="_Ref481671209"/>
      <w:r w:rsidRPr="00216E72">
        <w:rPr>
          <w:sz w:val="20"/>
          <w:szCs w:val="20"/>
        </w:rPr>
        <w:t>R1-1704814</w:t>
      </w:r>
      <w:r w:rsidR="000B00F5" w:rsidRPr="00216E72">
        <w:rPr>
          <w:sz w:val="20"/>
          <w:szCs w:val="20"/>
        </w:rPr>
        <w:t>, “</w:t>
      </w:r>
      <w:r w:rsidR="00216E72" w:rsidRPr="00216E72">
        <w:rPr>
          <w:sz w:val="20"/>
          <w:szCs w:val="20"/>
        </w:rPr>
        <w:t>UL diversity transmission for DFTsOFDM</w:t>
      </w:r>
      <w:r w:rsidR="000B00F5" w:rsidRPr="00216E72">
        <w:rPr>
          <w:sz w:val="20"/>
          <w:szCs w:val="20"/>
        </w:rPr>
        <w:t xml:space="preserve">”, </w:t>
      </w:r>
      <w:r w:rsidRPr="00216E72">
        <w:rPr>
          <w:sz w:val="20"/>
          <w:szCs w:val="20"/>
        </w:rPr>
        <w:t>Mitsubishi, 3GPP TSG RAN WG1 Meeting #88bis</w:t>
      </w:r>
      <w:r w:rsidR="000B00F5" w:rsidRPr="00216E72">
        <w:rPr>
          <w:sz w:val="20"/>
          <w:szCs w:val="20"/>
        </w:rPr>
        <w:t xml:space="preserve">, </w:t>
      </w:r>
      <w:r w:rsidRPr="00216E72">
        <w:rPr>
          <w:sz w:val="20"/>
          <w:szCs w:val="20"/>
        </w:rPr>
        <w:t>Spokane, Washington, April 3-7, 2017</w:t>
      </w:r>
      <w:bookmarkEnd w:id="6"/>
    </w:p>
    <w:p w14:paraId="57B1C906" w14:textId="3EE446C9" w:rsidR="00340CDF" w:rsidRPr="00340CDF" w:rsidRDefault="00340CDF" w:rsidP="00340CDF">
      <w:pPr>
        <w:pStyle w:val="references"/>
        <w:rPr>
          <w:sz w:val="20"/>
          <w:szCs w:val="20"/>
        </w:rPr>
      </w:pPr>
      <w:bookmarkStart w:id="7" w:name="_Ref481670828"/>
      <w:r w:rsidRPr="00340CDF">
        <w:rPr>
          <w:sz w:val="20"/>
          <w:szCs w:val="20"/>
        </w:rPr>
        <w:t>R1-1612321, “Robust Transmission Schemes for PDSCH”, Ericsson, 3GPP TSG RAN WG1 Meeting #87, Reno, Nevada, November 14-18, 2016</w:t>
      </w:r>
      <w:bookmarkEnd w:id="5"/>
      <w:bookmarkEnd w:id="7"/>
    </w:p>
    <w:p w14:paraId="5A79C28B" w14:textId="77777777" w:rsidR="003A5B3F" w:rsidRPr="00343642" w:rsidRDefault="00343642" w:rsidP="00343642">
      <w:pPr>
        <w:pStyle w:val="references"/>
        <w:rPr>
          <w:sz w:val="20"/>
          <w:szCs w:val="20"/>
        </w:rPr>
      </w:pPr>
      <w:bookmarkStart w:id="8"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8"/>
    </w:p>
    <w:p w14:paraId="0C2946C2" w14:textId="1461F7D6" w:rsidR="003C46AB" w:rsidRDefault="00B57A3A" w:rsidP="00B57A3A">
      <w:pPr>
        <w:pStyle w:val="references"/>
        <w:rPr>
          <w:sz w:val="20"/>
          <w:szCs w:val="20"/>
        </w:rPr>
      </w:pPr>
      <w:bookmarkStart w:id="9" w:name="_Ref471577914"/>
      <w:r w:rsidRPr="00B57A3A">
        <w:rPr>
          <w:sz w:val="20"/>
          <w:szCs w:val="20"/>
        </w:rPr>
        <w:t>3GPP TR 25.863, “Uplink transmit diversity for High Speed Packet Access (HSPA)”, version 11.0.0, December, 2012.</w:t>
      </w:r>
      <w:bookmarkEnd w:id="9"/>
    </w:p>
    <w:p w14:paraId="0D6D8E28" w14:textId="2C206162" w:rsidR="00C22936" w:rsidRPr="00C22936" w:rsidRDefault="00FC20E2" w:rsidP="002C2E41">
      <w:pPr>
        <w:pStyle w:val="references"/>
        <w:rPr>
          <w:sz w:val="20"/>
          <w:szCs w:val="20"/>
        </w:rPr>
      </w:pPr>
      <w:bookmarkStart w:id="10" w:name="_Ref477889777"/>
      <w:r>
        <w:rPr>
          <w:sz w:val="20"/>
          <w:szCs w:val="20"/>
        </w:rPr>
        <w:t>3GPP TR 38.802,</w:t>
      </w:r>
      <w:r w:rsidR="00C22936" w:rsidRPr="00C22936">
        <w:rPr>
          <w:sz w:val="20"/>
          <w:szCs w:val="20"/>
        </w:rPr>
        <w:t xml:space="preserve"> “Study on New Radio (NR) Access Technology; Physical Layer Aspects”</w:t>
      </w:r>
      <w:bookmarkEnd w:id="10"/>
    </w:p>
    <w:sectPr w:rsidR="00C22936" w:rsidRPr="00C2293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27BE8" w14:textId="77777777" w:rsidR="00D86213" w:rsidRDefault="00D86213">
      <w:r>
        <w:separator/>
      </w:r>
    </w:p>
  </w:endnote>
  <w:endnote w:type="continuationSeparator" w:id="0">
    <w:p w14:paraId="2819C703" w14:textId="77777777" w:rsidR="00D86213" w:rsidRDefault="00D86213">
      <w:r>
        <w:continuationSeparator/>
      </w:r>
    </w:p>
  </w:endnote>
  <w:endnote w:type="continuationNotice" w:id="1">
    <w:p w14:paraId="63059332" w14:textId="77777777" w:rsidR="00D86213" w:rsidRDefault="00D86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945E3" w14:textId="77777777" w:rsidR="00D86213" w:rsidRDefault="00D86213">
      <w:r>
        <w:separator/>
      </w:r>
    </w:p>
  </w:footnote>
  <w:footnote w:type="continuationSeparator" w:id="0">
    <w:p w14:paraId="1F95F08A" w14:textId="77777777" w:rsidR="00D86213" w:rsidRDefault="00D86213">
      <w:r>
        <w:continuationSeparator/>
      </w:r>
    </w:p>
  </w:footnote>
  <w:footnote w:type="continuationNotice" w:id="1">
    <w:p w14:paraId="7D93314D" w14:textId="77777777" w:rsidR="00D86213" w:rsidRDefault="00D862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7"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
  </w:num>
  <w:num w:numId="4">
    <w:abstractNumId w:val="1"/>
  </w:num>
  <w:num w:numId="5">
    <w:abstractNumId w:val="16"/>
  </w:num>
  <w:num w:numId="6">
    <w:abstractNumId w:val="12"/>
  </w:num>
  <w:num w:numId="7">
    <w:abstractNumId w:val="10"/>
  </w:num>
  <w:num w:numId="8">
    <w:abstractNumId w:val="13"/>
  </w:num>
  <w:num w:numId="9">
    <w:abstractNumId w:val="0"/>
  </w:num>
  <w:num w:numId="10">
    <w:abstractNumId w:val="6"/>
  </w:num>
  <w:num w:numId="11">
    <w:abstractNumId w:val="9"/>
  </w:num>
  <w:num w:numId="12">
    <w:abstractNumId w:val="2"/>
  </w:num>
  <w:num w:numId="13">
    <w:abstractNumId w:val="17"/>
  </w:num>
  <w:num w:numId="14">
    <w:abstractNumId w:val="3"/>
  </w:num>
  <w:num w:numId="15">
    <w:abstractNumId w:val="14"/>
  </w:num>
  <w:num w:numId="16">
    <w:abstractNumId w:val="5"/>
  </w:num>
  <w:num w:numId="17">
    <w:abstractNumId w:val="11"/>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715"/>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698"/>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58B6489A-1147-410D-AD31-C73C3224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D444A-5C76-4C38-9437-9D0EFBFA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2859</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24</cp:revision>
  <dcterms:created xsi:type="dcterms:W3CDTF">2017-05-04T18:22:00Z</dcterms:created>
  <dcterms:modified xsi:type="dcterms:W3CDTF">2017-05-06T03:20:00Z</dcterms:modified>
</cp:coreProperties>
</file>